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3</w:t>
      </w:r>
    </w:p>
    <w:p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ОЦЕНКА</w:t>
      </w:r>
    </w:p>
    <w:p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эффективности реализации муниципальной программы</w:t>
      </w:r>
    </w:p>
    <w:p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«Эффективное управление муниципальными финансами ЗАТО Северск»</w:t>
      </w:r>
      <w:r>
        <w:rPr>
          <w:rFonts w:ascii="Times New Roman" w:hAnsi="Times New Roman" w:cs="Times New Roman"/>
          <w:b/>
          <w:sz w:val="24"/>
          <w:szCs w:val="24"/>
        </w:rPr>
        <w:t xml:space="preserve"> на 2015 – 2020 годы за 2016 год</w:t>
      </w:r>
    </w:p>
    <w:p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sz w:val="24"/>
          <w:szCs w:val="24"/>
        </w:rPr>
        <w:t xml:space="preserve"> Анализ фактических и плановых значений целевых показателей (индикаторов) результативности муниципальной программы</w:t>
      </w:r>
    </w:p>
    <w:p>
      <w:pPr>
        <w:pStyle w:val="ConsPlusNonformat"/>
        <w:jc w:val="right"/>
        <w:rPr>
          <w:rFonts w:ascii="Times New Roman" w:hAnsi="Times New Roman" w:cs="Times New Roman"/>
          <w:i/>
          <w:sz w:val="24"/>
          <w:szCs w:val="24"/>
        </w:rPr>
      </w:pPr>
    </w:p>
    <w:p>
      <w:pPr>
        <w:pStyle w:val="ConsPlusNonformat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(по форме 1, установленной постановлением №707)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</w:t>
      </w:r>
    </w:p>
    <w:p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достижении значений целевых показателей (индикаторов) результативности муниципальной программы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«Эффективное управление муниципальными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финансами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ЗАТО Северск»</w:t>
      </w:r>
      <w:r>
        <w:rPr>
          <w:rFonts w:ascii="Times New Roman" w:hAnsi="Times New Roman" w:cs="Times New Roman"/>
          <w:sz w:val="24"/>
          <w:szCs w:val="24"/>
        </w:rPr>
        <w:t xml:space="preserve"> на 2015 – 2020 годы за 2016 год</w:t>
      </w:r>
    </w:p>
    <w:p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Таблица 1</w:t>
      </w:r>
    </w:p>
    <w:tbl>
      <w:tblPr>
        <w:tblStyle w:val="a3"/>
        <w:tblW w:w="0" w:type="auto"/>
        <w:tblLayout w:type="fixed"/>
        <w:tblLook w:val="04A0"/>
      </w:tblPr>
      <w:tblGrid>
        <w:gridCol w:w="540"/>
        <w:gridCol w:w="4246"/>
        <w:gridCol w:w="1843"/>
        <w:gridCol w:w="1843"/>
        <w:gridCol w:w="1275"/>
        <w:gridCol w:w="1276"/>
        <w:gridCol w:w="1559"/>
        <w:gridCol w:w="2660"/>
      </w:tblGrid>
      <w:tr>
        <w:tc>
          <w:tcPr>
            <w:tcW w:w="540" w:type="dxa"/>
            <w:vMerge w:val="restart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246" w:type="dxa"/>
            <w:vMerge w:val="restart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целевого показателя (индикатора)</w:t>
            </w:r>
          </w:p>
        </w:tc>
        <w:tc>
          <w:tcPr>
            <w:tcW w:w="1843" w:type="dxa"/>
            <w:vMerge w:val="restart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5953" w:type="dxa"/>
            <w:gridSpan w:val="4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Значения целевых показателей (индикаторов) результативности муниципальной программы</w:t>
            </w:r>
          </w:p>
        </w:tc>
        <w:tc>
          <w:tcPr>
            <w:tcW w:w="2660" w:type="dxa"/>
            <w:vMerge w:val="restart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Обоснование отклонений значений показателей (индикаторов) на конец отчетного года (при наличии)</w:t>
            </w:r>
          </w:p>
        </w:tc>
      </w:tr>
      <w:tr>
        <w:tc>
          <w:tcPr>
            <w:tcW w:w="540" w:type="dxa"/>
            <w:vMerge/>
          </w:tcPr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6" w:type="dxa"/>
            <w:vMerge/>
          </w:tcPr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 реализации, предшествующий отчетному</w:t>
            </w:r>
          </w:p>
        </w:tc>
        <w:tc>
          <w:tcPr>
            <w:tcW w:w="4110" w:type="dxa"/>
            <w:gridSpan w:val="3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Отчетный год</w:t>
            </w:r>
          </w:p>
        </w:tc>
        <w:tc>
          <w:tcPr>
            <w:tcW w:w="2660" w:type="dxa"/>
            <w:vMerge/>
          </w:tcPr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>
        <w:tc>
          <w:tcPr>
            <w:tcW w:w="540" w:type="dxa"/>
            <w:vMerge/>
          </w:tcPr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6" w:type="dxa"/>
            <w:vMerge/>
          </w:tcPr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1559" w:type="dxa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Оценка достижения</w:t>
            </w:r>
          </w:p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(факт/план)</w:t>
            </w:r>
          </w:p>
        </w:tc>
        <w:tc>
          <w:tcPr>
            <w:tcW w:w="2660" w:type="dxa"/>
            <w:vMerge/>
          </w:tcPr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>
        <w:tc>
          <w:tcPr>
            <w:tcW w:w="540" w:type="dxa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46" w:type="dxa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7=6/5</w:t>
            </w:r>
          </w:p>
        </w:tc>
        <w:tc>
          <w:tcPr>
            <w:tcW w:w="2660" w:type="dxa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>
        <w:tc>
          <w:tcPr>
            <w:tcW w:w="540" w:type="dxa"/>
          </w:tcPr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6" w:type="dxa"/>
          </w:tcPr>
          <w:p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Целевой показатель 1</w:t>
            </w:r>
          </w:p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Доля расходов бюджета, сформированных в рамках муниципальных программ, не менее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92,4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89,0</w:t>
            </w: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93,4</w:t>
            </w:r>
          </w:p>
        </w:tc>
        <w:tc>
          <w:tcPr>
            <w:tcW w:w="1559" w:type="dxa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1,1</w:t>
            </w:r>
          </w:p>
        </w:tc>
        <w:tc>
          <w:tcPr>
            <w:tcW w:w="2660" w:type="dxa"/>
          </w:tcPr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>
        <w:tc>
          <w:tcPr>
            <w:tcW w:w="540" w:type="dxa"/>
          </w:tcPr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6" w:type="dxa"/>
          </w:tcPr>
          <w:p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Целевой показатель 2</w:t>
            </w:r>
          </w:p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Темп роста налоговых и неналоговых доходов в сравнении с предыдущим годом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92,4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104,0</w:t>
            </w: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103,8</w:t>
            </w:r>
          </w:p>
        </w:tc>
        <w:tc>
          <w:tcPr>
            <w:tcW w:w="1559" w:type="dxa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1,0</w:t>
            </w:r>
          </w:p>
        </w:tc>
        <w:tc>
          <w:tcPr>
            <w:tcW w:w="2660" w:type="dxa"/>
          </w:tcPr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>
        <w:tc>
          <w:tcPr>
            <w:tcW w:w="540" w:type="dxa"/>
          </w:tcPr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6" w:type="dxa"/>
            <w:tcBorders>
              <w:bottom w:val="single" w:sz="4" w:space="0" w:color="000000" w:themeColor="text1"/>
            </w:tcBorders>
          </w:tcPr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Целевой показатель 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Средняя балльная оценка ГРБС по методике оценки финансового менеджмента</w:t>
            </w:r>
          </w:p>
        </w:tc>
        <w:tc>
          <w:tcPr>
            <w:tcW w:w="1843" w:type="dxa"/>
            <w:tcBorders>
              <w:bottom w:val="single" w:sz="4" w:space="0" w:color="000000" w:themeColor="text1"/>
            </w:tcBorders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843" w:type="dxa"/>
            <w:tcBorders>
              <w:bottom w:val="single" w:sz="4" w:space="0" w:color="000000" w:themeColor="text1"/>
            </w:tcBorders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41,0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53,0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54,2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1,0</w:t>
            </w:r>
          </w:p>
        </w:tc>
        <w:tc>
          <w:tcPr>
            <w:tcW w:w="2660" w:type="dxa"/>
            <w:tcBorders>
              <w:bottom w:val="single" w:sz="4" w:space="0" w:color="000000" w:themeColor="text1"/>
            </w:tcBorders>
          </w:tcPr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>
        <w:tc>
          <w:tcPr>
            <w:tcW w:w="540" w:type="dxa"/>
          </w:tcPr>
          <w:p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46" w:type="dxa"/>
            <w:shd w:val="clear" w:color="auto" w:fill="CCC0D9" w:themeFill="accent4" w:themeFillTint="66"/>
          </w:tcPr>
          <w:p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Показатели задачи 1</w:t>
            </w:r>
          </w:p>
        </w:tc>
        <w:tc>
          <w:tcPr>
            <w:tcW w:w="1843" w:type="dxa"/>
            <w:shd w:val="clear" w:color="auto" w:fill="CCC0D9" w:themeFill="accent4" w:themeFillTint="66"/>
          </w:tcPr>
          <w:p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CCC0D9" w:themeFill="accent4" w:themeFillTint="66"/>
          </w:tcPr>
          <w:p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CCC0D9" w:themeFill="accent4" w:themeFillTint="66"/>
          </w:tcPr>
          <w:p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CCC0D9" w:themeFill="accent4" w:themeFillTint="66"/>
          </w:tcPr>
          <w:p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CCC0D9" w:themeFill="accent4" w:themeFillTint="66"/>
          </w:tcPr>
          <w:p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60" w:type="dxa"/>
            <w:shd w:val="clear" w:color="auto" w:fill="CCC0D9" w:themeFill="accent4" w:themeFillTint="66"/>
          </w:tcPr>
          <w:p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>
        <w:tc>
          <w:tcPr>
            <w:tcW w:w="540" w:type="dxa"/>
          </w:tcPr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6" w:type="dxa"/>
          </w:tcPr>
          <w:p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Целевой показатель 1 задачи 1</w:t>
            </w:r>
          </w:p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задолженности в общем объеме поступлений по статье (по арендным платежам)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15,8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9,8</w:t>
            </w: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20,9</w:t>
            </w:r>
          </w:p>
        </w:tc>
        <w:tc>
          <w:tcPr>
            <w:tcW w:w="1559" w:type="dxa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2660" w:type="dxa"/>
          </w:tcPr>
          <w:p>
            <w:pPr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Оценка достижения получена делением планового значения на фактическое, т.к. данный показатель характеризуется положительно при минимальном значении.</w:t>
            </w:r>
          </w:p>
        </w:tc>
      </w:tr>
      <w:tr>
        <w:tc>
          <w:tcPr>
            <w:tcW w:w="540" w:type="dxa"/>
          </w:tcPr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6" w:type="dxa"/>
          </w:tcPr>
          <w:p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Целевой показатель 2 задачи 1</w:t>
            </w:r>
          </w:p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проведенных заседаний Комиссии по мобилизации доходов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1,3</w:t>
            </w:r>
          </w:p>
        </w:tc>
        <w:tc>
          <w:tcPr>
            <w:tcW w:w="2660" w:type="dxa"/>
          </w:tcPr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>
        <w:tc>
          <w:tcPr>
            <w:tcW w:w="540" w:type="dxa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4246" w:type="dxa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7=6/5</w:t>
            </w:r>
          </w:p>
        </w:tc>
        <w:tc>
          <w:tcPr>
            <w:tcW w:w="2660" w:type="dxa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>
        <w:tc>
          <w:tcPr>
            <w:tcW w:w="540" w:type="dxa"/>
          </w:tcPr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6" w:type="dxa"/>
          </w:tcPr>
          <w:p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Целевой показатель 3 задачи 1</w:t>
            </w:r>
          </w:p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приглашенных на Комиссию должников (неплательщиков)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236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210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285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1,4</w:t>
            </w:r>
          </w:p>
        </w:tc>
        <w:tc>
          <w:tcPr>
            <w:tcW w:w="2660" w:type="dxa"/>
          </w:tcPr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>
        <w:tc>
          <w:tcPr>
            <w:tcW w:w="540" w:type="dxa"/>
          </w:tcPr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6" w:type="dxa"/>
          </w:tcPr>
          <w:p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Целевой показатель 4 задачи 1</w:t>
            </w:r>
          </w:p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муниципальных учреждений, выполнивших муниципальное задание в полном объеме и с заданными показателями качества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96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76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98,5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1,3</w:t>
            </w:r>
          </w:p>
        </w:tc>
        <w:tc>
          <w:tcPr>
            <w:tcW w:w="2660" w:type="dxa"/>
          </w:tcPr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>
        <w:tc>
          <w:tcPr>
            <w:tcW w:w="540" w:type="dxa"/>
          </w:tcPr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6" w:type="dxa"/>
            <w:tcBorders>
              <w:bottom w:val="single" w:sz="4" w:space="0" w:color="000000" w:themeColor="text1"/>
            </w:tcBorders>
          </w:tcPr>
          <w:p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Целевой показатель 5 задачи 1</w:t>
            </w:r>
          </w:p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Минимальный объем охваченных контрольными мероприятиями средств бюджета ЗАТО Северск в общем объеме бюджетных ассигнований, являющихся объектом муниципального финансового контроля</w:t>
            </w:r>
          </w:p>
        </w:tc>
        <w:tc>
          <w:tcPr>
            <w:tcW w:w="1843" w:type="dxa"/>
            <w:tcBorders>
              <w:bottom w:val="single" w:sz="4" w:space="0" w:color="000000" w:themeColor="text1"/>
            </w:tcBorders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843" w:type="dxa"/>
            <w:tcBorders>
              <w:bottom w:val="single" w:sz="4" w:space="0" w:color="000000" w:themeColor="text1"/>
            </w:tcBorders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10,1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2660" w:type="dxa"/>
            <w:tcBorders>
              <w:bottom w:val="single" w:sz="4" w:space="0" w:color="000000" w:themeColor="text1"/>
            </w:tcBorders>
          </w:tcPr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>
        <w:trPr>
          <w:trHeight w:val="273"/>
        </w:trPr>
        <w:tc>
          <w:tcPr>
            <w:tcW w:w="540" w:type="dxa"/>
          </w:tcPr>
          <w:p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46" w:type="dxa"/>
            <w:shd w:val="clear" w:color="auto" w:fill="CCC0D9" w:themeFill="accent4" w:themeFillTint="66"/>
          </w:tcPr>
          <w:p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Показатели задачи 2</w:t>
            </w:r>
          </w:p>
        </w:tc>
        <w:tc>
          <w:tcPr>
            <w:tcW w:w="1843" w:type="dxa"/>
            <w:shd w:val="clear" w:color="auto" w:fill="CCC0D9" w:themeFill="accent4" w:themeFillTint="66"/>
          </w:tcPr>
          <w:p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CCC0D9" w:themeFill="accent4" w:themeFillTint="66"/>
          </w:tcPr>
          <w:p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CCC0D9" w:themeFill="accent4" w:themeFillTint="66"/>
          </w:tcPr>
          <w:p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CCC0D9" w:themeFill="accent4" w:themeFillTint="66"/>
          </w:tcPr>
          <w:p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CCC0D9" w:themeFill="accent4" w:themeFillTint="66"/>
          </w:tcPr>
          <w:p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60" w:type="dxa"/>
            <w:shd w:val="clear" w:color="auto" w:fill="CCC0D9" w:themeFill="accent4" w:themeFillTint="66"/>
          </w:tcPr>
          <w:p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>
        <w:tc>
          <w:tcPr>
            <w:tcW w:w="540" w:type="dxa"/>
          </w:tcPr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6" w:type="dxa"/>
          </w:tcPr>
          <w:p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Целевой показатель 1 задачи 2</w:t>
            </w:r>
          </w:p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установленных обновлений на бухгалтерских и финансовых системах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59" w:type="dxa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2660" w:type="dxa"/>
          </w:tcPr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>
        <w:tc>
          <w:tcPr>
            <w:tcW w:w="540" w:type="dxa"/>
          </w:tcPr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6" w:type="dxa"/>
          </w:tcPr>
          <w:p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Целевой показатель 2 задачи 2</w:t>
            </w:r>
          </w:p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АРМ, подключенных к общим информационным системам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2660" w:type="dxa"/>
          </w:tcPr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>
        <w:tc>
          <w:tcPr>
            <w:tcW w:w="540" w:type="dxa"/>
          </w:tcPr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6" w:type="dxa"/>
            <w:tcBorders>
              <w:bottom w:val="single" w:sz="4" w:space="0" w:color="000000" w:themeColor="text1"/>
            </w:tcBorders>
          </w:tcPr>
          <w:p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Целевой показатель 3 задачи2</w:t>
            </w:r>
          </w:p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учреждений, допустивших несвоевременное обновление информации на сайте bus.gov.ru</w:t>
            </w:r>
          </w:p>
        </w:tc>
        <w:tc>
          <w:tcPr>
            <w:tcW w:w="1843" w:type="dxa"/>
            <w:tcBorders>
              <w:bottom w:val="single" w:sz="4" w:space="0" w:color="000000" w:themeColor="text1"/>
            </w:tcBorders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843" w:type="dxa"/>
            <w:tcBorders>
              <w:bottom w:val="single" w:sz="4" w:space="0" w:color="000000" w:themeColor="text1"/>
            </w:tcBorders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0,7</w:t>
            </w:r>
          </w:p>
        </w:tc>
        <w:tc>
          <w:tcPr>
            <w:tcW w:w="2660" w:type="dxa"/>
            <w:tcBorders>
              <w:bottom w:val="single" w:sz="4" w:space="0" w:color="000000" w:themeColor="text1"/>
            </w:tcBorders>
          </w:tcPr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Оценка достижения получена делением планового значения на фактическое, т.к. данный показатель характеризуется положительно при минимальном значении.</w:t>
            </w:r>
          </w:p>
        </w:tc>
      </w:tr>
      <w:tr>
        <w:tc>
          <w:tcPr>
            <w:tcW w:w="540" w:type="dxa"/>
          </w:tcPr>
          <w:p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46" w:type="dxa"/>
            <w:shd w:val="clear" w:color="auto" w:fill="CCC0D9" w:themeFill="accent4" w:themeFillTint="66"/>
          </w:tcPr>
          <w:p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Показатели задачи 3</w:t>
            </w:r>
          </w:p>
        </w:tc>
        <w:tc>
          <w:tcPr>
            <w:tcW w:w="1843" w:type="dxa"/>
            <w:shd w:val="clear" w:color="auto" w:fill="CCC0D9" w:themeFill="accent4" w:themeFillTint="66"/>
          </w:tcPr>
          <w:p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CCC0D9" w:themeFill="accent4" w:themeFillTint="66"/>
          </w:tcPr>
          <w:p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CCC0D9" w:themeFill="accent4" w:themeFillTint="66"/>
          </w:tcPr>
          <w:p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000000" w:themeColor="text1"/>
            </w:tcBorders>
            <w:shd w:val="clear" w:color="auto" w:fill="CCC0D9" w:themeFill="accent4" w:themeFillTint="66"/>
          </w:tcPr>
          <w:p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000000" w:themeColor="text1"/>
            </w:tcBorders>
            <w:shd w:val="clear" w:color="auto" w:fill="CCC0D9" w:themeFill="accent4" w:themeFillTint="66"/>
          </w:tcPr>
          <w:p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2660" w:type="dxa"/>
            <w:shd w:val="clear" w:color="auto" w:fill="CCC0D9" w:themeFill="accent4" w:themeFillTint="66"/>
          </w:tcPr>
          <w:p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>
        <w:tc>
          <w:tcPr>
            <w:tcW w:w="540" w:type="dxa"/>
          </w:tcPr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6" w:type="dxa"/>
          </w:tcPr>
          <w:p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Целевой показатель 1 задачи 3</w:t>
            </w:r>
          </w:p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Отношение стоимости прямого долга к уровню ставки рефинансирования Центрального банка Российской Федерации</w:t>
            </w:r>
          </w:p>
        </w:tc>
        <w:tc>
          <w:tcPr>
            <w:tcW w:w="1843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0,4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0,96</w:t>
            </w:r>
          </w:p>
        </w:tc>
        <w:tc>
          <w:tcPr>
            <w:tcW w:w="1276" w:type="dxa"/>
            <w:shd w:val="clear" w:color="auto" w:fill="auto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0,47</w:t>
            </w:r>
          </w:p>
        </w:tc>
        <w:tc>
          <w:tcPr>
            <w:tcW w:w="1559" w:type="dxa"/>
            <w:shd w:val="clear" w:color="auto" w:fill="auto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60" w:type="dxa"/>
          </w:tcPr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Оценка достижения получена делением планового значения на фактическое, т.к. данный показатель характеризуется положительно при минимальном значении.</w:t>
            </w:r>
          </w:p>
        </w:tc>
      </w:tr>
      <w:tr>
        <w:tc>
          <w:tcPr>
            <w:tcW w:w="540" w:type="dxa"/>
          </w:tcPr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6" w:type="dxa"/>
          </w:tcPr>
          <w:p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Целевой показатель 2 задачи 3</w:t>
            </w:r>
          </w:p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просроченных долговых обязательств в объеме долга</w:t>
            </w:r>
          </w:p>
        </w:tc>
        <w:tc>
          <w:tcPr>
            <w:tcW w:w="1843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60" w:type="dxa"/>
          </w:tcPr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>
        <w:tc>
          <w:tcPr>
            <w:tcW w:w="540" w:type="dxa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4246" w:type="dxa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7=6/5</w:t>
            </w:r>
          </w:p>
        </w:tc>
        <w:tc>
          <w:tcPr>
            <w:tcW w:w="2660" w:type="dxa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</w:p>
        </w:tc>
      </w:tr>
      <w:tr>
        <w:tc>
          <w:tcPr>
            <w:tcW w:w="540" w:type="dxa"/>
          </w:tcPr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6" w:type="dxa"/>
          </w:tcPr>
          <w:p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Целевой показатель 3 задачи 3</w:t>
            </w:r>
          </w:p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Отношение объема краткосрочного долга к доходам бюджета ЗАТО Северск без учета безвозмездных поступлений</w:t>
            </w:r>
          </w:p>
        </w:tc>
        <w:tc>
          <w:tcPr>
            <w:tcW w:w="1843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2,3</w:t>
            </w:r>
          </w:p>
        </w:tc>
        <w:tc>
          <w:tcPr>
            <w:tcW w:w="2660" w:type="dxa"/>
          </w:tcPr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Оценка достижения получена делением планового значения на фактическое, т.к. данный показатель характеризуется положительно при минимальном значении.</w:t>
            </w:r>
          </w:p>
        </w:tc>
      </w:tr>
      <w:tr>
        <w:tc>
          <w:tcPr>
            <w:tcW w:w="540" w:type="dxa"/>
          </w:tcPr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6" w:type="dxa"/>
          </w:tcPr>
          <w:p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Целевой показатель 4 задачи 3</w:t>
            </w:r>
          </w:p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Отношение суммы остатков на едином счете бюджета к общей сумме расходов</w:t>
            </w:r>
          </w:p>
        </w:tc>
        <w:tc>
          <w:tcPr>
            <w:tcW w:w="1843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1,4</w:t>
            </w:r>
          </w:p>
        </w:tc>
        <w:tc>
          <w:tcPr>
            <w:tcW w:w="1559" w:type="dxa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4,3</w:t>
            </w:r>
          </w:p>
        </w:tc>
        <w:tc>
          <w:tcPr>
            <w:tcW w:w="2660" w:type="dxa"/>
          </w:tcPr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Оценка достижения получена делением планового значения на фактическое, т.к. данный показатель характеризуется положительно при минимальном значении.</w:t>
            </w:r>
          </w:p>
        </w:tc>
      </w:tr>
    </w:tbl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Примечание:</w:t>
      </w:r>
    </w:p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Расчет целевого показателя 1</w:t>
      </w:r>
    </w:p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Объем программных расходов составляет 3 506 526,66 тыс.руб.</w:t>
      </w:r>
    </w:p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Общий объем расходов составляет 3 754 744,32 тыс.руб.</w:t>
      </w:r>
    </w:p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Отношение:  3 506 526,66 / 3 754 744,32  = 93,4%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Расчет целевого показателя 2</w:t>
      </w:r>
    </w:p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Объем налоговых и неналоговых 2015 года составляет 946 870,94 тыс.руб.</w:t>
      </w:r>
    </w:p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Объем налоговых и неналоговых 2016 года составляет 982 409,56 тыс.руб.</w:t>
      </w:r>
    </w:p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Темп роста:  982 409,56 / 946 870,94 = 103,8%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Расчет целевого показателя 1.1</w:t>
      </w:r>
    </w:p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Задолженность по неналоговым доходам на 01.01.2017 составляет 47 382,3 тыс.руб.</w:t>
      </w:r>
    </w:p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Объем поступлений неналоговых доходов составляет 227 060,9 тыс.руб.</w:t>
      </w:r>
    </w:p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Доля задолженности в объеме поступлений:  47 382,3 / 227 060,9 = 20,9%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Расчет целевого показателя 1.4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Количество муниципальных учреждений, выполнивших МЗ в полном объеме и с заданными показателями качества составляет 67; 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Общее количество муниципальных учреждений, выполняющих МЗ, составляет 68;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Доля: 67 / 68 = 98,5%</w:t>
      </w:r>
    </w:p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Расчет целевого показателя 1.5</w:t>
      </w:r>
    </w:p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Объем средств бюджета ЗАТО Северск, охваченных контрольными мероприятиями составляет 192 913,40 тыс.руб.; 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Общий объем ассигнований, являющийся объектом муниципального финансового контроля составляет 3 986 759,59 тыс.руб.;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Доля: 192 913,40 / 3 986 759,59  = 5%</w:t>
      </w:r>
    </w:p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Расчет целевого показателя 2.3</w:t>
      </w:r>
    </w:p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Количество муниципальных учреждений, размещающих информацию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bus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>gov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>ru</w:t>
      </w:r>
      <w:r>
        <w:rPr>
          <w:rFonts w:ascii="Times New Roman" w:hAnsi="Times New Roman" w:cs="Times New Roman"/>
          <w:sz w:val="24"/>
          <w:szCs w:val="24"/>
        </w:rPr>
        <w:t xml:space="preserve"> составляет 85; 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Количество муниципальных учреждений, допустивших несвоевременное размещение информации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bus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>gov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>ru</w:t>
      </w:r>
      <w:r>
        <w:rPr>
          <w:rFonts w:ascii="Times New Roman" w:hAnsi="Times New Roman" w:cs="Times New Roman"/>
          <w:sz w:val="24"/>
          <w:szCs w:val="24"/>
        </w:rPr>
        <w:t xml:space="preserve"> составляет 17;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Доля: 17 / 85 = 20%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Расчет целевого показателя 3.1</w:t>
      </w:r>
    </w:p>
    <w:tbl>
      <w:tblPr>
        <w:tblStyle w:val="a3"/>
        <w:tblpPr w:leftFromText="180" w:rightFromText="180" w:vertAnchor="text" w:horzAnchor="page" w:tblpX="1921" w:tblpY="171"/>
        <w:tblW w:w="0" w:type="auto"/>
        <w:tblLook w:val="04A0"/>
      </w:tblPr>
      <w:tblGrid>
        <w:gridCol w:w="3794"/>
        <w:gridCol w:w="1417"/>
        <w:gridCol w:w="1560"/>
        <w:gridCol w:w="2268"/>
        <w:gridCol w:w="1578"/>
      </w:tblGrid>
      <w:tr>
        <w:tc>
          <w:tcPr>
            <w:tcW w:w="3794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кредита, тыс.руб.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Ставка по кредиту, %</w:t>
            </w: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 уплачено за пользование кредитом в 2016 году, тыс.руб.</w:t>
            </w:r>
          </w:p>
        </w:tc>
        <w:tc>
          <w:tcPr>
            <w:tcW w:w="157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 выплаченной ставки, %</w:t>
            </w:r>
          </w:p>
        </w:tc>
      </w:tr>
      <w:tr>
        <w:tc>
          <w:tcPr>
            <w:tcW w:w="3794" w:type="dxa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Коммерческий кредит 2015 года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37 906,17</w:t>
            </w:r>
          </w:p>
        </w:tc>
        <w:tc>
          <w:tcPr>
            <w:tcW w:w="1560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13,9</w:t>
            </w:r>
          </w:p>
        </w:tc>
        <w:tc>
          <w:tcPr>
            <w:tcW w:w="2268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1 045 281,08</w:t>
            </w:r>
          </w:p>
        </w:tc>
        <w:tc>
          <w:tcPr>
            <w:tcW w:w="1578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2,76</w:t>
            </w:r>
          </w:p>
        </w:tc>
      </w:tr>
      <w:tr>
        <w:tc>
          <w:tcPr>
            <w:tcW w:w="3794" w:type="dxa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Коммерческий кредит 2016 года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20 000,00</w:t>
            </w:r>
          </w:p>
        </w:tc>
        <w:tc>
          <w:tcPr>
            <w:tcW w:w="1560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14,17</w:t>
            </w:r>
          </w:p>
        </w:tc>
        <w:tc>
          <w:tcPr>
            <w:tcW w:w="2268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>
        <w:tc>
          <w:tcPr>
            <w:tcW w:w="3794" w:type="dxa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Бюджетный кредит 2015 года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52 700,00</w:t>
            </w:r>
          </w:p>
        </w:tc>
        <w:tc>
          <w:tcPr>
            <w:tcW w:w="1560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8,25</w:t>
            </w:r>
          </w:p>
        </w:tc>
        <w:tc>
          <w:tcPr>
            <w:tcW w:w="2268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3 551 921,40</w:t>
            </w:r>
          </w:p>
        </w:tc>
        <w:tc>
          <w:tcPr>
            <w:tcW w:w="1578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6,74</w:t>
            </w:r>
          </w:p>
        </w:tc>
      </w:tr>
      <w:tr>
        <w:tc>
          <w:tcPr>
            <w:tcW w:w="3794" w:type="dxa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Бюджетный кредит 2016 года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36 000,00</w:t>
            </w:r>
          </w:p>
        </w:tc>
        <w:tc>
          <w:tcPr>
            <w:tcW w:w="1560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2268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Средняя стоимость прямого долга:  </w:t>
      </w:r>
      <w:r>
        <w:rPr>
          <w:rFonts w:ascii="Times New Roman" w:hAnsi="Times New Roman" w:cs="Times New Roman"/>
          <w:position w:val="-24"/>
          <w:sz w:val="24"/>
          <w:szCs w:val="24"/>
        </w:rPr>
        <w:object w:dxaOrig="24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1.2pt;height:31.2pt" o:ole="">
            <v:imagedata r:id="rId7" o:title=""/>
          </v:shape>
          <o:OLEObject Type="Embed" ProgID="Equation.3" ShapeID="_x0000_i1025" DrawAspect="Content" ObjectID="_1549696489" r:id="rId8"/>
        </w:object>
      </w:r>
    </w:p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Отношение стоимости прямого долга к уровню ставки рефинансирования Центрального банка Российской Федерации:</w:t>
      </w:r>
      <w:r>
        <w:rPr>
          <w:rFonts w:ascii="Times New Roman" w:hAnsi="Times New Roman" w:cs="Times New Roman"/>
          <w:color w:val="FF0000"/>
          <w:position w:val="-28"/>
          <w:sz w:val="24"/>
          <w:szCs w:val="24"/>
        </w:rPr>
        <w:object w:dxaOrig="1660" w:dyaOrig="660">
          <v:shape id="_x0000_i1026" type="#_x0000_t75" style="width:83.4pt;height:33pt" o:ole="">
            <v:imagedata r:id="rId9" o:title=""/>
          </v:shape>
          <o:OLEObject Type="Embed" ProgID="Equation.3" ShapeID="_x0000_i1026" DrawAspect="Content" ObjectID="_1549696490" r:id="rId10"/>
        </w:object>
      </w:r>
    </w:p>
    <w:p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Расчет целевого показателя 3.3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Объем краткосрочного долга, погашенного в 2016 году составил 37 906,17 тыс.руб.</w:t>
      </w:r>
    </w:p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Объем доходов без МБТ составил 982 409,56 тыс.руб.</w:t>
      </w:r>
    </w:p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Отношение: 37 906,17  / 982 409,56 = 4%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Расчет целевого показателя 3.4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Объем остатков на едином счете бюджета составляет 53 166,79 тыс.руб.</w:t>
      </w:r>
    </w:p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Объем расходов составляет 3 754 744,32 тыс.руб.</w:t>
      </w:r>
    </w:p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Отношение: 53 166,79  / 3 754 744,32 = 1,4%</w:t>
      </w:r>
    </w:p>
    <w:p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>(по форме 2, установленной постановлением №707)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</w:t>
      </w:r>
    </w:p>
    <w:p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достижении значений целевых показателей (индикаторов) результативности подпрограммы 1</w:t>
      </w:r>
    </w:p>
    <w:p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color w:val="000000"/>
          <w:sz w:val="24"/>
          <w:szCs w:val="24"/>
        </w:rPr>
        <w:t>Повышение качества управления муниципальными финансами участниками бюджетного процесса в ЗАТО Северск</w:t>
      </w:r>
      <w:r>
        <w:rPr>
          <w:rFonts w:ascii="Times New Roman" w:hAnsi="Times New Roman" w:cs="Times New Roman"/>
          <w:sz w:val="24"/>
          <w:szCs w:val="24"/>
        </w:rPr>
        <w:t>»</w:t>
      </w:r>
    </w:p>
    <w:p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муниципальной программы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«Эффективное управление муниципальными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финансами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ЗАТО Северск»</w:t>
      </w:r>
      <w:r>
        <w:rPr>
          <w:rFonts w:ascii="Times New Roman" w:hAnsi="Times New Roman" w:cs="Times New Roman"/>
          <w:sz w:val="24"/>
          <w:szCs w:val="24"/>
        </w:rPr>
        <w:t xml:space="preserve"> на 2015 – 2020 годы</w:t>
      </w:r>
    </w:p>
    <w:p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2016 год </w:t>
      </w:r>
    </w:p>
    <w:p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Таблица 2</w:t>
      </w:r>
    </w:p>
    <w:tbl>
      <w:tblPr>
        <w:tblStyle w:val="a3"/>
        <w:tblW w:w="0" w:type="auto"/>
        <w:tblLayout w:type="fixed"/>
        <w:tblLook w:val="04A0"/>
      </w:tblPr>
      <w:tblGrid>
        <w:gridCol w:w="540"/>
        <w:gridCol w:w="4388"/>
        <w:gridCol w:w="1417"/>
        <w:gridCol w:w="2127"/>
        <w:gridCol w:w="1417"/>
        <w:gridCol w:w="1276"/>
        <w:gridCol w:w="1701"/>
        <w:gridCol w:w="2376"/>
      </w:tblGrid>
      <w:tr>
        <w:tc>
          <w:tcPr>
            <w:tcW w:w="540" w:type="dxa"/>
            <w:vMerge w:val="restart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388" w:type="dxa"/>
            <w:vMerge w:val="restart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целевого показателя (индикатора) подпрограммы 1</w:t>
            </w:r>
          </w:p>
        </w:tc>
        <w:tc>
          <w:tcPr>
            <w:tcW w:w="1417" w:type="dxa"/>
            <w:vMerge w:val="restart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6521" w:type="dxa"/>
            <w:gridSpan w:val="4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Значения целевых показателей (индикаторов) результативности подпрограммы 1</w:t>
            </w:r>
          </w:p>
        </w:tc>
        <w:tc>
          <w:tcPr>
            <w:tcW w:w="2376" w:type="dxa"/>
            <w:vMerge w:val="restart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Обоснование отклонений значений показателей (индикаторов) на конец отчетного года (при наличии)</w:t>
            </w:r>
          </w:p>
        </w:tc>
      </w:tr>
      <w:tr>
        <w:tc>
          <w:tcPr>
            <w:tcW w:w="540" w:type="dxa"/>
            <w:vMerge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8" w:type="dxa"/>
            <w:vMerge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реализации, предшествующий отчетному</w:t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(2015)</w:t>
            </w:r>
          </w:p>
        </w:tc>
        <w:tc>
          <w:tcPr>
            <w:tcW w:w="4394" w:type="dxa"/>
            <w:gridSpan w:val="3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Отчетный год</w:t>
            </w:r>
          </w:p>
        </w:tc>
        <w:tc>
          <w:tcPr>
            <w:tcW w:w="2376" w:type="dxa"/>
            <w:vMerge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c>
          <w:tcPr>
            <w:tcW w:w="540" w:type="dxa"/>
            <w:vMerge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8" w:type="dxa"/>
            <w:vMerge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достижения</w:t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(факт/план)</w:t>
            </w:r>
          </w:p>
        </w:tc>
        <w:tc>
          <w:tcPr>
            <w:tcW w:w="2376" w:type="dxa"/>
            <w:vMerge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c>
          <w:tcPr>
            <w:tcW w:w="540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88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7=6/5</w:t>
            </w:r>
          </w:p>
        </w:tc>
        <w:tc>
          <w:tcPr>
            <w:tcW w:w="2376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>
        <w:tc>
          <w:tcPr>
            <w:tcW w:w="540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2" w:type="dxa"/>
            <w:gridSpan w:val="7"/>
            <w:shd w:val="clear" w:color="auto" w:fill="FBD4B4" w:themeFill="accent6" w:themeFillTint="66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Задача. Повышение качества финансового менеджмента главных распорядителей бюджетных средств и главных администраторов доходов бюджета ЗАТО Северск</w:t>
            </w:r>
          </w:p>
        </w:tc>
      </w:tr>
      <w:tr>
        <w:tc>
          <w:tcPr>
            <w:tcW w:w="540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388" w:type="dxa"/>
          </w:tcPr>
          <w:p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Целевой показатель 1</w:t>
            </w:r>
          </w:p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задолженности в общем объеме поступлений по статье (по арендным платежам)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2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15,8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9,8</w:t>
            </w: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20,9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376" w:type="dxa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c>
          <w:tcPr>
            <w:tcW w:w="540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388" w:type="dxa"/>
          </w:tcPr>
          <w:p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Целевой показатель 2</w:t>
            </w:r>
          </w:p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проведенных заседаний Комиссии по мобилизации доходов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2376" w:type="dxa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c>
          <w:tcPr>
            <w:tcW w:w="540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4388" w:type="dxa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Целевой показатель 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Количество приглашенных на Комиссию по мобилизации доходов должников (неплательщиков)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212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236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285</w:t>
            </w:r>
          </w:p>
        </w:tc>
        <w:tc>
          <w:tcPr>
            <w:tcW w:w="1701" w:type="dxa"/>
            <w:tcBorders>
              <w:bottom w:val="single" w:sz="4" w:space="0" w:color="000000" w:themeColor="text1"/>
            </w:tcBorders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1,36</w:t>
            </w:r>
          </w:p>
        </w:tc>
        <w:tc>
          <w:tcPr>
            <w:tcW w:w="2376" w:type="dxa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c>
          <w:tcPr>
            <w:tcW w:w="540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4388" w:type="dxa"/>
          </w:tcPr>
          <w:p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Целевой показатель 4 </w:t>
            </w:r>
          </w:p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муниципальных учреждений, выполнивших муниципальное задание  полном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объеме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с заданными показателями качества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2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98,5</w:t>
            </w:r>
          </w:p>
        </w:tc>
        <w:tc>
          <w:tcPr>
            <w:tcW w:w="1701" w:type="dxa"/>
            <w:tcBorders>
              <w:bottom w:val="single" w:sz="4" w:space="0" w:color="000000" w:themeColor="text1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2376" w:type="dxa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c>
          <w:tcPr>
            <w:tcW w:w="540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4388" w:type="dxa"/>
          </w:tcPr>
          <w:p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Целевой показатель 5</w:t>
            </w:r>
          </w:p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Минимальный объем охваченных контрольными мероприятиями средств бюджета ЗАТО Северск в общем объеме бюджетных ассигнований, являющихся объектом муниципального финансового контроля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2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10,1</w:t>
            </w:r>
          </w:p>
        </w:tc>
        <w:tc>
          <w:tcPr>
            <w:tcW w:w="1276" w:type="dxa"/>
            <w:shd w:val="clear" w:color="auto" w:fill="auto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701" w:type="dxa"/>
            <w:shd w:val="clear" w:color="auto" w:fill="auto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СВЕДЕНИЯ</w:t>
      </w:r>
    </w:p>
    <w:p>
      <w:pPr>
        <w:spacing w:after="0" w:line="2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достижении значений целевых показателей (индикаторов) результативности подпрограммы 2 </w:t>
      </w:r>
    </w:p>
    <w:p>
      <w:pPr>
        <w:spacing w:after="0" w:line="20" w:lineRule="atLeast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/>
          <w:color w:val="000000" w:themeColor="text1"/>
          <w:sz w:val="24"/>
          <w:szCs w:val="24"/>
        </w:rPr>
        <w:t>Повышение качества и уровня автоматизации бюджетного процесса в ЗАТО Северск</w:t>
      </w:r>
      <w:r>
        <w:rPr>
          <w:rFonts w:ascii="Times New Roman" w:hAnsi="Times New Roman" w:cs="Times New Roman"/>
          <w:sz w:val="24"/>
          <w:szCs w:val="24"/>
        </w:rPr>
        <w:t>»</w:t>
      </w:r>
    </w:p>
    <w:p>
      <w:pPr>
        <w:spacing w:after="0" w:line="2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муниципальной программы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«Эффективное управление муниципальными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финансами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ЗАТО Северск»</w:t>
      </w:r>
      <w:r>
        <w:rPr>
          <w:rFonts w:ascii="Times New Roman" w:hAnsi="Times New Roman" w:cs="Times New Roman"/>
          <w:sz w:val="24"/>
          <w:szCs w:val="24"/>
        </w:rPr>
        <w:t xml:space="preserve"> на 2015 – 2020 годы </w:t>
      </w:r>
    </w:p>
    <w:p>
      <w:pPr>
        <w:spacing w:after="0" w:line="2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2016 год</w:t>
      </w:r>
    </w:p>
    <w:p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Таблица 3</w:t>
      </w:r>
    </w:p>
    <w:tbl>
      <w:tblPr>
        <w:tblStyle w:val="a3"/>
        <w:tblW w:w="0" w:type="auto"/>
        <w:tblLook w:val="04A0"/>
      </w:tblPr>
      <w:tblGrid>
        <w:gridCol w:w="540"/>
        <w:gridCol w:w="4388"/>
        <w:gridCol w:w="1417"/>
        <w:gridCol w:w="2127"/>
        <w:gridCol w:w="1417"/>
        <w:gridCol w:w="1276"/>
        <w:gridCol w:w="1701"/>
        <w:gridCol w:w="2376"/>
      </w:tblGrid>
      <w:tr>
        <w:tc>
          <w:tcPr>
            <w:tcW w:w="540" w:type="dxa"/>
            <w:vMerge w:val="restart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388" w:type="dxa"/>
            <w:vMerge w:val="restart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целевого показателя (индикатора)</w:t>
            </w:r>
          </w:p>
        </w:tc>
        <w:tc>
          <w:tcPr>
            <w:tcW w:w="1417" w:type="dxa"/>
            <w:vMerge w:val="restart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6521" w:type="dxa"/>
            <w:gridSpan w:val="4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Значения целевых показателей (индикаторов) результативности муниципальной программы</w:t>
            </w:r>
          </w:p>
        </w:tc>
        <w:tc>
          <w:tcPr>
            <w:tcW w:w="2376" w:type="dxa"/>
            <w:vMerge w:val="restart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Обоснование отклонений значений показателей (индикаторов) на конец отчетного года (при наличии)</w:t>
            </w:r>
          </w:p>
        </w:tc>
      </w:tr>
      <w:tr>
        <w:tc>
          <w:tcPr>
            <w:tcW w:w="540" w:type="dxa"/>
            <w:vMerge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8" w:type="dxa"/>
            <w:vMerge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год реализации, предшествующий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отчетному</w:t>
            </w:r>
            <w:proofErr w:type="gramEnd"/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(2015)</w:t>
            </w:r>
          </w:p>
        </w:tc>
        <w:tc>
          <w:tcPr>
            <w:tcW w:w="4394" w:type="dxa"/>
            <w:gridSpan w:val="3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Отчетный год</w:t>
            </w:r>
          </w:p>
        </w:tc>
        <w:tc>
          <w:tcPr>
            <w:tcW w:w="2376" w:type="dxa"/>
            <w:vMerge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c>
          <w:tcPr>
            <w:tcW w:w="540" w:type="dxa"/>
            <w:vMerge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8" w:type="dxa"/>
            <w:vMerge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достижения</w:t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(факт/план)</w:t>
            </w:r>
          </w:p>
        </w:tc>
        <w:tc>
          <w:tcPr>
            <w:tcW w:w="2376" w:type="dxa"/>
            <w:vMerge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c>
          <w:tcPr>
            <w:tcW w:w="540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88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7=6/5</w:t>
            </w:r>
          </w:p>
        </w:tc>
        <w:tc>
          <w:tcPr>
            <w:tcW w:w="2376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>
        <w:tc>
          <w:tcPr>
            <w:tcW w:w="540" w:type="dxa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2" w:type="dxa"/>
            <w:gridSpan w:val="7"/>
            <w:shd w:val="clear" w:color="auto" w:fill="FBD4B4" w:themeFill="accent6" w:themeFillTint="66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Задача: совершенствование информационно-технического сопровождения бюджетного процесса на территории ЗАТО Северск</w:t>
            </w:r>
          </w:p>
        </w:tc>
      </w:tr>
      <w:tr>
        <w:tc>
          <w:tcPr>
            <w:tcW w:w="540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4388" w:type="dxa"/>
          </w:tcPr>
          <w:p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Целевой показатель 1</w:t>
            </w:r>
          </w:p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установленных обновлений на бухгалтерских и финансовых системах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212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376" w:type="dxa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c>
          <w:tcPr>
            <w:tcW w:w="540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4388" w:type="dxa"/>
          </w:tcPr>
          <w:p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Целевой показатель 2</w:t>
            </w:r>
          </w:p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АРМ, подключенных к общим информационным системам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2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bottom w:val="single" w:sz="4" w:space="0" w:color="000000" w:themeColor="text1"/>
            </w:tcBorders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376" w:type="dxa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c>
          <w:tcPr>
            <w:tcW w:w="540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4388" w:type="dxa"/>
          </w:tcPr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Целевой показатель 3</w:t>
            </w:r>
          </w:p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учреждений, допустивших несвоевременное обновление информации на сайте bus.gov.ru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2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76" w:type="dxa"/>
            <w:shd w:val="clear" w:color="auto" w:fill="auto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01" w:type="dxa"/>
            <w:shd w:val="clear" w:color="auto" w:fill="auto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2376" w:type="dxa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c>
          <w:tcPr>
            <w:tcW w:w="540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4388" w:type="dxa"/>
          </w:tcPr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Целевой показатель 4</w:t>
            </w:r>
          </w:p>
          <w:p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Создание резервных баз данных и их хранение на автономных носителях информации, в год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212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376" w:type="dxa"/>
          </w:tcPr>
          <w:p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>
        <w:tc>
          <w:tcPr>
            <w:tcW w:w="540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4388" w:type="dxa"/>
          </w:tcPr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Целевой показатель 5</w:t>
            </w:r>
          </w:p>
          <w:p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размещенных «бюджетов для граждан» на официальном сайте Администрации ЗАТО Северск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212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2376" w:type="dxa"/>
          </w:tcPr>
          <w:p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СВЕДЕНИЯ</w:t>
      </w:r>
    </w:p>
    <w:p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достижении значений целевых показателей (индикаторов) результативности подпрограммы 3 </w:t>
      </w:r>
    </w:p>
    <w:p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Обеспечение устойчивости бюджета ЗАТО Северск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</w:p>
    <w:p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муниципальной программы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«Эффективное управление муниципальными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финансами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ЗАТО Северск»</w:t>
      </w:r>
      <w:r>
        <w:rPr>
          <w:rFonts w:ascii="Times New Roman" w:hAnsi="Times New Roman" w:cs="Times New Roman"/>
          <w:sz w:val="24"/>
          <w:szCs w:val="24"/>
        </w:rPr>
        <w:t xml:space="preserve"> на 2015 – 2020 годы</w:t>
      </w:r>
    </w:p>
    <w:p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2016 год</w:t>
      </w:r>
    </w:p>
    <w:p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Таблица 4</w:t>
      </w:r>
    </w:p>
    <w:tbl>
      <w:tblPr>
        <w:tblStyle w:val="a3"/>
        <w:tblW w:w="0" w:type="auto"/>
        <w:tblLook w:val="04A0"/>
      </w:tblPr>
      <w:tblGrid>
        <w:gridCol w:w="540"/>
        <w:gridCol w:w="4388"/>
        <w:gridCol w:w="1417"/>
        <w:gridCol w:w="2127"/>
        <w:gridCol w:w="1417"/>
        <w:gridCol w:w="1276"/>
        <w:gridCol w:w="1701"/>
        <w:gridCol w:w="2376"/>
      </w:tblGrid>
      <w:tr>
        <w:tc>
          <w:tcPr>
            <w:tcW w:w="540" w:type="dxa"/>
            <w:vMerge w:val="restart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388" w:type="dxa"/>
            <w:vMerge w:val="restart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целевого показателя (индикатора)</w:t>
            </w:r>
          </w:p>
        </w:tc>
        <w:tc>
          <w:tcPr>
            <w:tcW w:w="1417" w:type="dxa"/>
            <w:vMerge w:val="restart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6521" w:type="dxa"/>
            <w:gridSpan w:val="4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Значения целевых показателей (индикаторов) результативности муниципальной программы</w:t>
            </w:r>
          </w:p>
        </w:tc>
        <w:tc>
          <w:tcPr>
            <w:tcW w:w="2376" w:type="dxa"/>
            <w:vMerge w:val="restart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Обоснование отклонений значений показателей (индикаторов) на конец отчетного года (при наличии)</w:t>
            </w:r>
          </w:p>
        </w:tc>
      </w:tr>
      <w:tr>
        <w:tc>
          <w:tcPr>
            <w:tcW w:w="540" w:type="dxa"/>
            <w:vMerge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8" w:type="dxa"/>
            <w:vMerge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реализации, предшествующий отчетному</w:t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(2015)</w:t>
            </w:r>
          </w:p>
        </w:tc>
        <w:tc>
          <w:tcPr>
            <w:tcW w:w="4394" w:type="dxa"/>
            <w:gridSpan w:val="3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Отчетный год</w:t>
            </w:r>
          </w:p>
        </w:tc>
        <w:tc>
          <w:tcPr>
            <w:tcW w:w="2376" w:type="dxa"/>
            <w:vMerge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c>
          <w:tcPr>
            <w:tcW w:w="540" w:type="dxa"/>
            <w:vMerge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8" w:type="dxa"/>
            <w:vMerge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достижения</w:t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(факт/план)</w:t>
            </w:r>
          </w:p>
        </w:tc>
        <w:tc>
          <w:tcPr>
            <w:tcW w:w="2376" w:type="dxa"/>
            <w:vMerge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c>
          <w:tcPr>
            <w:tcW w:w="540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88" w:type="dxa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7=6/5</w:t>
            </w:r>
          </w:p>
        </w:tc>
        <w:tc>
          <w:tcPr>
            <w:tcW w:w="2376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>
        <w:tc>
          <w:tcPr>
            <w:tcW w:w="540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2" w:type="dxa"/>
            <w:gridSpan w:val="7"/>
            <w:shd w:val="clear" w:color="auto" w:fill="FBD4B4" w:themeFill="accent6" w:themeFillTint="66"/>
          </w:tcPr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Задача: Эффективное управление муниципальным долгом ЗАТО Северск</w:t>
            </w:r>
          </w:p>
        </w:tc>
      </w:tr>
      <w:tr>
        <w:tc>
          <w:tcPr>
            <w:tcW w:w="540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4388" w:type="dxa"/>
          </w:tcPr>
          <w:p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Целевой показатель 1</w:t>
            </w:r>
          </w:p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Отношение стоимости прямого долга к уровню ставки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рефинансирова-ния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Центрального банка Российской Федерации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2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0,40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0,96</w:t>
            </w:r>
          </w:p>
        </w:tc>
        <w:tc>
          <w:tcPr>
            <w:tcW w:w="1276" w:type="dxa"/>
            <w:shd w:val="clear" w:color="auto" w:fill="auto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0,47</w:t>
            </w:r>
          </w:p>
        </w:tc>
        <w:tc>
          <w:tcPr>
            <w:tcW w:w="1701" w:type="dxa"/>
            <w:shd w:val="clear" w:color="auto" w:fill="auto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2376" w:type="dxa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c>
          <w:tcPr>
            <w:tcW w:w="540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4388" w:type="dxa"/>
          </w:tcPr>
          <w:p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Целевой показатель 2</w:t>
            </w:r>
          </w:p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просроченных долговых обязательств в объеме долга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76" w:type="dxa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c>
          <w:tcPr>
            <w:tcW w:w="540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4388" w:type="dxa"/>
          </w:tcPr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Целевой показатель 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Отношение объема краткосрочного долга к доходам бюджета ЗАТО Северск без учета безвозмездных поступлений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2376" w:type="dxa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c>
          <w:tcPr>
            <w:tcW w:w="540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4388" w:type="dxa"/>
          </w:tcPr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Целевой показатель 4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Отношение суммы остатков на едином счете бюджета к общей сумме расходов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2376" w:type="dxa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b/>
          <w:sz w:val="24"/>
          <w:szCs w:val="24"/>
        </w:rPr>
        <w:t xml:space="preserve"> Оценка степени достижения целей и решения задач муниципальной программы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п.8 Порядка степень достижения целей и решения задач муниципальной программы определяется по формуле:</w:t>
      </w:r>
    </w:p>
    <w:p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position w:val="-72"/>
          <w:sz w:val="24"/>
          <w:szCs w:val="24"/>
        </w:rPr>
        <w:object w:dxaOrig="3780" w:dyaOrig="1560">
          <v:shape id="_x0000_i1027" type="#_x0000_t75" style="width:189pt;height:78pt" o:ole="">
            <v:imagedata r:id="rId11" o:title=""/>
          </v:shape>
          <o:OLEObject Type="Embed" ProgID="Equation.3" ShapeID="_x0000_i1027" DrawAspect="Content" ObjectID="_1549696491" r:id="rId12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По данным таблиц 1 – 4 показатель </w:t>
      </w:r>
      <w:r>
        <w:rPr>
          <w:rFonts w:ascii="Times New Roman" w:hAnsi="Times New Roman" w:cs="Times New Roman"/>
          <w:b/>
          <w:position w:val="-14"/>
        </w:rPr>
        <w:object w:dxaOrig="660" w:dyaOrig="380">
          <v:shape id="_x0000_i1028" type="#_x0000_t75" style="width:33pt;height:18.6pt" o:ole="">
            <v:imagedata r:id="rId13" o:title=""/>
          </v:shape>
          <o:OLEObject Type="Embed" ProgID="Equation.3" ShapeID="_x0000_i1028" DrawAspect="Content" ObjectID="_1549696492" r:id="rId14"/>
        </w:object>
      </w:r>
      <w:r>
        <w:rPr>
          <w:rFonts w:ascii="Times New Roman" w:hAnsi="Times New Roman" w:cs="Times New Roman"/>
          <w:b/>
        </w:rPr>
        <w:t>1,29.</w:t>
      </w:r>
    </w:p>
    <w:p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Согласно п.9 Порядка, значение показателя </w:t>
      </w:r>
      <w:r>
        <w:rPr>
          <w:rFonts w:ascii="Times New Roman" w:hAnsi="Times New Roman" w:cs="Times New Roman"/>
          <w:position w:val="-14"/>
          <w:sz w:val="24"/>
          <w:szCs w:val="24"/>
        </w:rPr>
        <w:object w:dxaOrig="1600" w:dyaOrig="380">
          <v:shape id="_x0000_i1029" type="#_x0000_t75" style="width:80.4pt;height:18.6pt" o:ole="">
            <v:imagedata r:id="rId15" o:title=""/>
          </v:shape>
          <o:OLEObject Type="Embed" ProgID="Equation.3" ShapeID="_x0000_i1029" DrawAspect="Content" ObjectID="_1549696493" r:id="rId16"/>
        </w:object>
      </w:r>
      <w:r>
        <w:rPr>
          <w:rFonts w:ascii="Times New Roman" w:hAnsi="Times New Roman" w:cs="Times New Roman"/>
          <w:sz w:val="24"/>
          <w:szCs w:val="24"/>
        </w:rPr>
        <w:t xml:space="preserve"> по шкале оценки степени достижения целей и решения задач свидетельствует </w:t>
      </w:r>
      <w:r>
        <w:rPr>
          <w:rFonts w:ascii="Times New Roman" w:hAnsi="Times New Roman" w:cs="Times New Roman"/>
          <w:b/>
          <w:sz w:val="24"/>
          <w:szCs w:val="24"/>
        </w:rPr>
        <w:t>о высокой результативности.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Необходимо отметить, что степень достижения целей и задач в 2016 году выше, чем в 2015 году на 106%.</w:t>
      </w:r>
    </w:p>
    <w:p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III </w:t>
      </w:r>
      <w:r>
        <w:rPr>
          <w:rFonts w:ascii="Times New Roman" w:hAnsi="Times New Roman" w:cs="Times New Roman"/>
          <w:b/>
          <w:sz w:val="24"/>
          <w:szCs w:val="24"/>
        </w:rPr>
        <w:t>Анализ фактических и плановых объемов финансирования на реализацию муниципальной программы</w:t>
      </w:r>
    </w:p>
    <w:p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(по форме 3, установленной постановлением №707)</w:t>
      </w:r>
    </w:p>
    <w:p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ИНФОРМАЦИЯ</w:t>
      </w:r>
    </w:p>
    <w:p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финансировании реализации муниципальной программы </w:t>
      </w:r>
    </w:p>
    <w:p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«Эффективное управление муниципальными финансами ЗАТО Северск»</w:t>
      </w:r>
      <w:r>
        <w:rPr>
          <w:rFonts w:ascii="Times New Roman" w:hAnsi="Times New Roman" w:cs="Times New Roman"/>
          <w:sz w:val="24"/>
          <w:szCs w:val="24"/>
        </w:rPr>
        <w:t xml:space="preserve"> на 2015 – 2020 годы за 2016 год</w:t>
      </w:r>
    </w:p>
    <w:p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Таблица 5</w:t>
      </w:r>
    </w:p>
    <w:tbl>
      <w:tblPr>
        <w:tblStyle w:val="a3"/>
        <w:tblW w:w="0" w:type="auto"/>
        <w:tblLook w:val="04A0"/>
      </w:tblPr>
      <w:tblGrid>
        <w:gridCol w:w="540"/>
        <w:gridCol w:w="8924"/>
        <w:gridCol w:w="2126"/>
        <w:gridCol w:w="1985"/>
        <w:gridCol w:w="1667"/>
      </w:tblGrid>
      <w:tr>
        <w:tc>
          <w:tcPr>
            <w:tcW w:w="540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№ п/п</w:t>
            </w:r>
          </w:p>
        </w:tc>
        <w:tc>
          <w:tcPr>
            <w:tcW w:w="8924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Наименования подпрограммы, ВЦП, основного мероприятия, мероприятия</w:t>
            </w:r>
          </w:p>
        </w:tc>
        <w:tc>
          <w:tcPr>
            <w:tcW w:w="5778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 (тыс.руб.)</w:t>
            </w:r>
          </w:p>
        </w:tc>
      </w:tr>
      <w:tr>
        <w:tc>
          <w:tcPr>
            <w:tcW w:w="540" w:type="dxa"/>
            <w:vMerge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4" w:type="dxa"/>
            <w:vMerge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Утвержденные расходы на реализацию программы в отчетном году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Фактические расходы на реализацию программы в отчетном году</w:t>
            </w:r>
          </w:p>
        </w:tc>
        <w:tc>
          <w:tcPr>
            <w:tcW w:w="1667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Степень освоения средств</w:t>
            </w:r>
          </w:p>
        </w:tc>
      </w:tr>
      <w:tr>
        <w:tc>
          <w:tcPr>
            <w:tcW w:w="540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24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67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>
        <w:tc>
          <w:tcPr>
            <w:tcW w:w="540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24" w:type="dxa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1 «Повышение качества управления муниципальными финансами участниками бюджетного процесса в ЗАТО Северск», всего, в том числе: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67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>
        <w:tc>
          <w:tcPr>
            <w:tcW w:w="540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8924" w:type="dxa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ВЦП «Повышение качества финансового менеджмента главных распорядителей бюджетных средств и главных администраторов доходов бюджета ЗАТО Северск»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67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>
        <w:tc>
          <w:tcPr>
            <w:tcW w:w="540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924" w:type="dxa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2 «Повышение качества и уровня автоматизации бюджетного процесса в ЗАТО Северск», всего, в том числе: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1 387,70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1 387,67</w:t>
            </w:r>
          </w:p>
        </w:tc>
        <w:tc>
          <w:tcPr>
            <w:tcW w:w="1667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>
        <w:tc>
          <w:tcPr>
            <w:tcW w:w="540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924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67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>
        <w:tc>
          <w:tcPr>
            <w:tcW w:w="540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8924" w:type="dxa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ВЦП «Совершенствование информационно-технического сопровождения бюджетного процесса на территории ЗАТО Северск»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1 387,70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1 387,67</w:t>
            </w:r>
          </w:p>
        </w:tc>
        <w:tc>
          <w:tcPr>
            <w:tcW w:w="1667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>
        <w:tc>
          <w:tcPr>
            <w:tcW w:w="540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924" w:type="dxa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3 «Обеспечение устойчивости бюджета ЗАТО Северск», всего, в том числе: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4 597,94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4 597,20</w:t>
            </w:r>
          </w:p>
        </w:tc>
        <w:tc>
          <w:tcPr>
            <w:tcW w:w="1667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99,98%</w:t>
            </w:r>
          </w:p>
        </w:tc>
      </w:tr>
      <w:tr>
        <w:tc>
          <w:tcPr>
            <w:tcW w:w="540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8924" w:type="dxa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ВЦП «Эффективное управление муниципальным долгом ЗАТО Северск»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4 597,94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4 597,20</w:t>
            </w:r>
          </w:p>
        </w:tc>
        <w:tc>
          <w:tcPr>
            <w:tcW w:w="1667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99,98%</w:t>
            </w:r>
          </w:p>
        </w:tc>
      </w:tr>
      <w:tr>
        <w:tc>
          <w:tcPr>
            <w:tcW w:w="540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924" w:type="dxa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Обеспечивающая подпрограмма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22 762,93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22 748,94</w:t>
            </w:r>
          </w:p>
        </w:tc>
        <w:tc>
          <w:tcPr>
            <w:tcW w:w="1667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99,94%</w:t>
            </w:r>
          </w:p>
        </w:tc>
      </w:tr>
      <w:tr>
        <w:tc>
          <w:tcPr>
            <w:tcW w:w="540" w:type="dxa"/>
          </w:tcPr>
          <w:p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24" w:type="dxa"/>
          </w:tcPr>
          <w:p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муниципальной программе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28 748,57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28 733,81</w:t>
            </w:r>
          </w:p>
        </w:tc>
        <w:tc>
          <w:tcPr>
            <w:tcW w:w="1667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99,95%</w:t>
            </w:r>
          </w:p>
        </w:tc>
      </w:tr>
    </w:tbl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п.10 Порядка оценка эффективности освоения средств муниципальной программы определяется по формуле:</w:t>
      </w:r>
    </w:p>
    <w:p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position w:val="-30"/>
          <w:sz w:val="24"/>
          <w:szCs w:val="24"/>
        </w:rPr>
        <w:object w:dxaOrig="1140" w:dyaOrig="680">
          <v:shape id="_x0000_i1030" type="#_x0000_t75" style="width:57pt;height:33.6pt" o:ole="">
            <v:imagedata r:id="rId17" o:title=""/>
          </v:shape>
          <o:OLEObject Type="Embed" ProgID="Equation.3" ShapeID="_x0000_i1030" DrawAspect="Content" ObjectID="_1549696494" r:id="rId18"/>
        </w:objec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По данным таблицы 5 показатель </w:t>
      </w:r>
      <w:r>
        <w:rPr>
          <w:rFonts w:ascii="Times New Roman" w:hAnsi="Times New Roman" w:cs="Times New Roman"/>
          <w:b/>
          <w:position w:val="-12"/>
        </w:rPr>
        <w:object w:dxaOrig="660" w:dyaOrig="360">
          <v:shape id="_x0000_i1031" type="#_x0000_t75" style="width:33pt;height:18pt" o:ole="">
            <v:imagedata r:id="rId19" o:title=""/>
          </v:shape>
          <o:OLEObject Type="Embed" ProgID="Equation.3" ShapeID="_x0000_i1031" DrawAspect="Content" ObjectID="_1549696495" r:id="rId20"/>
        </w:object>
      </w:r>
      <w:r>
        <w:rPr>
          <w:rFonts w:ascii="Times New Roman" w:hAnsi="Times New Roman" w:cs="Times New Roman"/>
          <w:b/>
        </w:rPr>
        <w:t>0,9995.</w:t>
      </w:r>
    </w:p>
    <w:p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Согласно п.9 Порядка, значение показателя </w:t>
      </w:r>
      <w:r>
        <w:rPr>
          <w:rFonts w:ascii="Times New Roman" w:hAnsi="Times New Roman" w:cs="Times New Roman"/>
          <w:position w:val="-12"/>
          <w:sz w:val="24"/>
          <w:szCs w:val="24"/>
        </w:rPr>
        <w:object w:dxaOrig="1579" w:dyaOrig="360">
          <v:shape id="_x0000_i1032" type="#_x0000_t75" style="width:78.6pt;height:18pt" o:ole="">
            <v:imagedata r:id="rId21" o:title=""/>
          </v:shape>
          <o:OLEObject Type="Embed" ProgID="Equation.3" ShapeID="_x0000_i1032" DrawAspect="Content" ObjectID="_1549696496" r:id="rId22"/>
        </w:object>
      </w:r>
      <w:r>
        <w:rPr>
          <w:rFonts w:ascii="Times New Roman" w:hAnsi="Times New Roman" w:cs="Times New Roman"/>
          <w:sz w:val="24"/>
          <w:szCs w:val="24"/>
        </w:rPr>
        <w:t xml:space="preserve"> по шкале эффективности освоения средств муниципальной программы свидетельствует </w:t>
      </w:r>
      <w:r>
        <w:rPr>
          <w:rFonts w:ascii="Times New Roman" w:hAnsi="Times New Roman" w:cs="Times New Roman"/>
          <w:b/>
          <w:sz w:val="24"/>
          <w:szCs w:val="24"/>
        </w:rPr>
        <w:t>о полном освоении.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>
        <w:rPr>
          <w:rFonts w:ascii="Times New Roman" w:hAnsi="Times New Roman" w:cs="Times New Roman"/>
          <w:b/>
          <w:sz w:val="24"/>
          <w:szCs w:val="24"/>
        </w:rPr>
        <w:t xml:space="preserve">  Анализ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эффективности реализации муниципальной программы</w:t>
      </w:r>
    </w:p>
    <w:p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соответствии с п.12 и таблицей 3 Порядка эффективность реализации муниципальной программы оценивается как </w:t>
      </w:r>
      <w:r>
        <w:rPr>
          <w:rFonts w:ascii="Times New Roman" w:hAnsi="Times New Roman" w:cs="Times New Roman"/>
          <w:b/>
          <w:sz w:val="24"/>
          <w:szCs w:val="24"/>
        </w:rPr>
        <w:t>высокая</w:t>
      </w:r>
      <w:r>
        <w:rPr>
          <w:rFonts w:ascii="Times New Roman" w:hAnsi="Times New Roman" w:cs="Times New Roman"/>
          <w:sz w:val="24"/>
          <w:szCs w:val="24"/>
        </w:rPr>
        <w:t xml:space="preserve"> (оценка – 5).</w:t>
      </w:r>
    </w:p>
    <w:p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Е.А.Холоша</w:t>
      </w:r>
      <w:proofErr w:type="spellEnd"/>
    </w:p>
    <w:p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77 38 60</w:t>
      </w:r>
    </w:p>
    <w:sectPr>
      <w:headerReference w:type="default" r:id="rId23"/>
      <w:pgSz w:w="16838" w:h="11906" w:orient="landscape"/>
      <w:pgMar w:top="993" w:right="678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>
      <w:pPr>
        <w:spacing w:after="0" w:line="240" w:lineRule="auto"/>
      </w:pPr>
      <w:r>
        <w:separator/>
      </w:r>
    </w:p>
  </w:endnote>
  <w:endnote w:type="continuationSeparator" w:id="1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>
      <w:pPr>
        <w:spacing w:after="0" w:line="240" w:lineRule="auto"/>
      </w:pPr>
      <w:r>
        <w:separator/>
      </w:r>
    </w:p>
  </w:footnote>
  <w:footnote w:type="continuationSeparator" w:id="1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397172"/>
      <w:docPartObj>
        <w:docPartGallery w:val="Page Numbers (Top of Page)"/>
        <w:docPartUnique/>
      </w:docPartObj>
    </w:sdtPr>
    <w:sdtContent>
      <w:p>
        <w:pPr>
          <w:pStyle w:val="a5"/>
          <w:jc w:val="right"/>
        </w:pPr>
        <w:fldSimple w:instr=" PAGE   \* MERGEFORMAT ">
          <w:r>
            <w:rPr>
              <w:noProof/>
            </w:rPr>
            <w:t>9</w:t>
          </w:r>
        </w:fldSimple>
      </w:p>
    </w:sdtContent>
  </w:sdt>
  <w:p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A06B5F"/>
    <w:multiLevelType w:val="hybridMultilevel"/>
    <w:tmpl w:val="1D3E42A0"/>
    <w:lvl w:ilvl="0" w:tplc="16E21FB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eastAsia="en-US"/>
    </w:rPr>
  </w:style>
  <w:style w:type="table" w:styleId="a3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</w:style>
  <w:style w:type="paragraph" w:styleId="a7">
    <w:name w:val="footer"/>
    <w:basedOn w:val="a"/>
    <w:link w:val="a8"/>
    <w:uiPriority w:val="99"/>
    <w:semiHidden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header" Target="header1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537</TotalTime>
  <Pages>9</Pages>
  <Words>1984</Words>
  <Characters>11314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Холоша</dc:creator>
  <cp:keywords/>
  <dc:description/>
  <cp:lastModifiedBy>Холоша</cp:lastModifiedBy>
  <cp:revision>33</cp:revision>
  <cp:lastPrinted>2017-02-14T08:52:00Z</cp:lastPrinted>
  <dcterms:created xsi:type="dcterms:W3CDTF">2016-02-16T10:13:00Z</dcterms:created>
  <dcterms:modified xsi:type="dcterms:W3CDTF">2017-02-27T03:28:00Z</dcterms:modified>
</cp:coreProperties>
</file>